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A" w:rsidRDefault="00E75060">
      <w:r w:rsidRPr="00E7506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-356870</wp:posOffset>
            </wp:positionV>
            <wp:extent cx="809625" cy="9239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060" w:rsidRDefault="00E75060">
      <w:pPr>
        <w:rPr>
          <w:rFonts w:ascii="Calibri" w:hAnsi="Calibri" w:cs="Calibri"/>
          <w:b/>
          <w:color w:val="201F1E"/>
          <w:sz w:val="24"/>
          <w:szCs w:val="24"/>
        </w:rPr>
      </w:pPr>
    </w:p>
    <w:p w:rsidR="00E75060" w:rsidRDefault="00E75060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p w:rsidR="00E75060" w:rsidRDefault="00E75060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p w:rsidR="00E75060" w:rsidRDefault="00E75060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Profissionais de serviços essenciais para efeitos de acolhimento nos estabelecimentos de ensino</w:t>
      </w:r>
    </w:p>
    <w:p w:rsidR="00E75060" w:rsidRDefault="00E75060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Nos termos do disposto no n.º 1 do artigo 10.º do Decreto-Lei n.º 10-A/2020, de 13 de março, são incluídos na portaria prevista neste diploma como profissionais dos serviços essenciais, para efeitos de acolhimento, nos estabelecimentos de ensino, dos filhos ou outros dependentes a cargo, nomeadamente: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 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a) Os profissionais da Cruz Vermelha Portuguesa;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b) Os profissionais da Santa Casa da Misericórdia de Lisboa e da Casa Pia de Lisboa;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c) Os trabalhadores das instituições particulares de solidariedade social;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d) Os trabalhadores de Estabelecimentos Residenciais para Pessoas Idosas e de respostas sociais de instituições públicas, de pessoas coletivas de direito privado e utilidade pública, do setor social e solidários e do setor lucrativo;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e) Os profissionais de estruturas de atendimento e de respostas de acolhimento de emergência e de acolhimento de crianças e jovens em risco;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f) Os profissionais do serviço de transporte a vítimas de violência doméstica, no âmbito do regime jurídico aplicável à prevenção da violência doméstica;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g) Os profissionais de serviços privados de apoio social de resposta às necessidades da população e aos cidadãos mais vulneráveis, idosos, pessoas com deficiência ou incapacidade física e intelectual, crianças e jovens em risco, pessoas sem abrigo e refugiados;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h) Os profissionais de serviços de apoio a lares e casas de acolhimento, cantinas socais e apoio alimentar, centros de acolhimento e de apoio social a população, voluntariado, atendimento e acompanhamento social de emergência;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i) Os profissionais de serviços da Rede Nacional de Cuidados Continuados Integrados;</w:t>
      </w:r>
    </w:p>
    <w:p w:rsidR="002C6D67" w:rsidRPr="00E75060" w:rsidRDefault="002C6D67" w:rsidP="002C6D67">
      <w:pPr>
        <w:pStyle w:val="xmsoplaintext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color w:val="201F1E"/>
        </w:rPr>
        <w:t>j) Os profissionais das pousadas do Inatel, e de toda a infraestrutura hoteleira ao dispor da Fundação Inatel.</w:t>
      </w:r>
    </w:p>
    <w:p w:rsidR="002C6D67" w:rsidRPr="00E75060" w:rsidRDefault="002C6D67">
      <w:pPr>
        <w:rPr>
          <w:rFonts w:cstheme="minorHAnsi"/>
          <w:sz w:val="24"/>
          <w:szCs w:val="24"/>
        </w:rPr>
      </w:pPr>
    </w:p>
    <w:p w:rsidR="00E75060" w:rsidRPr="00E75060" w:rsidRDefault="00E75060" w:rsidP="00E7506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7506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Ana Mendes Godinho</w:t>
      </w:r>
    </w:p>
    <w:p w:rsidR="00E75060" w:rsidRDefault="00E75060" w:rsidP="00E75060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_x0000_i1025" o:spid="_x0000_i1025" type="#_x0000_t75" alt="cid:image003.png@01D60160.CCE70A30" style="width:192pt;height:36pt"/>
        </w:pict>
      </w:r>
    </w:p>
    <w:p w:rsidR="00E75060" w:rsidRPr="00E75060" w:rsidRDefault="00E75060" w:rsidP="00E75060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E75060">
        <w:rPr>
          <w:rFonts w:ascii="Trebuchet MS" w:hAnsi="Trebuchet MS" w:cs="Calibri"/>
          <w:color w:val="000000"/>
          <w:sz w:val="22"/>
          <w:szCs w:val="22"/>
          <w:bdr w:val="none" w:sz="0" w:space="0" w:color="auto" w:frame="1"/>
        </w:rPr>
        <w:t>Ministério do Trabalho, Solidariedade e Segurança Social</w:t>
      </w:r>
    </w:p>
    <w:p w:rsidR="00E75060" w:rsidRPr="00E75060" w:rsidRDefault="00E75060" w:rsidP="00E75060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E75060">
        <w:rPr>
          <w:rFonts w:ascii="Trebuchet MS" w:hAnsi="Trebuchet MS" w:cs="Calibri"/>
          <w:color w:val="000000"/>
          <w:sz w:val="22"/>
          <w:szCs w:val="22"/>
          <w:bdr w:val="none" w:sz="0" w:space="0" w:color="auto" w:frame="1"/>
        </w:rPr>
        <w:t>Praça de Londres, 2 - 16º</w:t>
      </w:r>
    </w:p>
    <w:p w:rsidR="00E75060" w:rsidRPr="00E75060" w:rsidRDefault="00E75060" w:rsidP="00E75060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E75060">
        <w:rPr>
          <w:rFonts w:ascii="Trebuchet MS" w:hAnsi="Trebuchet MS" w:cs="Calibri"/>
          <w:color w:val="000000"/>
          <w:sz w:val="22"/>
          <w:szCs w:val="22"/>
          <w:bdr w:val="none" w:sz="0" w:space="0" w:color="auto" w:frame="1"/>
        </w:rPr>
        <w:t>1049-056 Lisboa, PORTUGAL</w:t>
      </w:r>
    </w:p>
    <w:p w:rsidR="00E75060" w:rsidRPr="00E75060" w:rsidRDefault="00E75060" w:rsidP="00E75060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E75060">
        <w:rPr>
          <w:rFonts w:ascii="Trebuchet MS" w:hAnsi="Trebuchet MS" w:cs="Calibri"/>
          <w:b/>
          <w:bCs/>
          <w:color w:val="000000"/>
          <w:sz w:val="22"/>
          <w:szCs w:val="22"/>
          <w:bdr w:val="none" w:sz="0" w:space="0" w:color="auto" w:frame="1"/>
        </w:rPr>
        <w:t>TEL </w:t>
      </w:r>
      <w:r w:rsidRPr="00E75060">
        <w:rPr>
          <w:rFonts w:ascii="Trebuchet MS" w:hAnsi="Trebuchet MS" w:cs="Calibri"/>
          <w:color w:val="000000"/>
          <w:sz w:val="22"/>
          <w:szCs w:val="22"/>
          <w:bdr w:val="none" w:sz="0" w:space="0" w:color="auto" w:frame="1"/>
        </w:rPr>
        <w:t>+ 351 21 842 41 00 / + 351 21 596 38 05</w:t>
      </w:r>
    </w:p>
    <w:p w:rsidR="00E75060" w:rsidRDefault="00E75060" w:rsidP="00E750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 w:rsidRPr="00E75060">
          <w:rPr>
            <w:rStyle w:val="Hiperligao"/>
            <w:rFonts w:ascii="Trebuchet MS" w:hAnsi="Trebuchet MS" w:cs="Calibri"/>
            <w:b/>
            <w:bCs/>
            <w:color w:val="0563C1"/>
            <w:sz w:val="22"/>
            <w:szCs w:val="22"/>
            <w:bdr w:val="none" w:sz="0" w:space="0" w:color="auto" w:frame="1"/>
          </w:rPr>
          <w:t>www.portugal.gov.pt</w:t>
        </w:r>
      </w:hyperlink>
      <w:r w:rsidRPr="00E75060">
        <w:rPr>
          <w:rFonts w:ascii="Trebuchet MS" w:hAnsi="Trebuchet MS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  <w:r w:rsidRPr="00E75060">
        <w:rPr>
          <w:rFonts w:ascii="Trebuchet MS" w:hAnsi="Trebuchet MS" w:cs="Calibri"/>
          <w:b/>
          <w:bCs/>
          <w:color w:val="000000"/>
          <w:sz w:val="22"/>
          <w:szCs w:val="22"/>
          <w:bdr w:val="none" w:sz="0" w:space="0" w:color="auto" w:frame="1"/>
        </w:rPr>
        <w:t>● </w:t>
      </w:r>
      <w:hyperlink r:id="rId6" w:tgtFrame="_blank" w:history="1">
        <w:r w:rsidRPr="00E75060">
          <w:rPr>
            <w:rStyle w:val="Hiperligao"/>
            <w:rFonts w:ascii="Trebuchet MS" w:hAnsi="Trebuchet MS" w:cs="Calibri"/>
            <w:b/>
            <w:bCs/>
            <w:color w:val="0563C1"/>
            <w:sz w:val="22"/>
            <w:szCs w:val="22"/>
            <w:bdr w:val="none" w:sz="0" w:space="0" w:color="auto" w:frame="1"/>
          </w:rPr>
          <w:t>https://twitter.com/trabalho_pt</w:t>
        </w:r>
      </w:hyperlink>
    </w:p>
    <w:p w:rsidR="00E75060" w:rsidRDefault="00E75060"/>
    <w:sectPr w:rsidR="00E75060" w:rsidSect="00601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D67"/>
    <w:rsid w:val="002C6D67"/>
    <w:rsid w:val="00601DEA"/>
    <w:rsid w:val="006764BA"/>
    <w:rsid w:val="00E7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2C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msonormal">
    <w:name w:val="x_msonormal"/>
    <w:basedOn w:val="Normal"/>
    <w:rsid w:val="00E7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75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rabalho_pt" TargetMode="External"/><Relationship Id="rId5" Type="http://schemas.openxmlformats.org/officeDocument/2006/relationships/hyperlink" Target="http://www.portugal.gov.p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Lino Maia</dc:creator>
  <cp:lastModifiedBy>Padre Lino Maia</cp:lastModifiedBy>
  <cp:revision>2</cp:revision>
  <dcterms:created xsi:type="dcterms:W3CDTF">2020-03-25T23:10:00Z</dcterms:created>
  <dcterms:modified xsi:type="dcterms:W3CDTF">2020-03-26T00:23:00Z</dcterms:modified>
</cp:coreProperties>
</file>